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23D7" w14:textId="1DF41226" w:rsidR="00F467B3" w:rsidRDefault="001F1FCA" w:rsidP="001F1FCA">
      <w:pPr>
        <w:spacing w:after="184" w:line="259" w:lineRule="auto"/>
        <w:ind w:left="3396" w:right="0" w:firstLine="144"/>
      </w:pPr>
      <w:r>
        <w:rPr>
          <w:b/>
        </w:rPr>
        <w:t>KURUMLAR ARASI</w:t>
      </w:r>
    </w:p>
    <w:p w14:paraId="6F7DB550" w14:textId="37690F33" w:rsidR="00F467B3" w:rsidRDefault="001F1FCA" w:rsidP="001F1FCA">
      <w:pPr>
        <w:spacing w:after="184" w:line="259" w:lineRule="auto"/>
        <w:ind w:left="3245" w:right="0" w:firstLine="0"/>
      </w:pPr>
      <w:r>
        <w:rPr>
          <w:b/>
        </w:rPr>
        <w:t>YATAY GEÇİŞ KOŞULLARI</w:t>
      </w:r>
    </w:p>
    <w:p w14:paraId="44A19F78" w14:textId="5478F7BC" w:rsidR="00F467B3" w:rsidRDefault="001F1FCA" w:rsidP="001F1FCA">
      <w:pPr>
        <w:spacing w:after="153" w:line="259" w:lineRule="auto"/>
        <w:ind w:left="564" w:right="599" w:hanging="10"/>
        <w:jc w:val="center"/>
      </w:pPr>
      <w:r>
        <w:rPr>
          <w:b/>
        </w:rPr>
        <w:t>(GENEL NOT ORTALAMASINA GÖRE)</w:t>
      </w:r>
    </w:p>
    <w:p w14:paraId="076F9D88" w14:textId="4ECA1675" w:rsidR="00F467B3" w:rsidRDefault="001F1FCA">
      <w:pPr>
        <w:spacing w:after="151"/>
        <w:ind w:left="108" w:right="194"/>
      </w:pPr>
      <w:r>
        <w:t xml:space="preserve">Yükseköğretim Kurumları Arasında Lisans ve </w:t>
      </w:r>
      <w:r w:rsidR="009052A9">
        <w:t>Ön Lisans</w:t>
      </w:r>
      <w:r>
        <w:t xml:space="preserve"> Düzeyinde Yatay Geçiş Esaslarına İlişkin Yönetmelik hükümlerine ve Üniversitemiz yönetmeliklerine uygun olarak 2025-2026 eğitim-öğretim yılı </w:t>
      </w:r>
      <w:r w:rsidR="009052A9">
        <w:t>Bahar</w:t>
      </w:r>
      <w:r>
        <w:t xml:space="preserve"> yarıyılında, Üniversitemize yatay geçiş ile kabul edilecek öğrencilerde aranan koşullar ve gerekli belgeler: </w:t>
      </w:r>
    </w:p>
    <w:p w14:paraId="5FFB2333" w14:textId="77777777" w:rsidR="00F467B3" w:rsidRDefault="001F1FCA">
      <w:pPr>
        <w:spacing w:after="192" w:line="259" w:lineRule="auto"/>
        <w:ind w:left="183" w:right="0" w:hanging="10"/>
        <w:jc w:val="left"/>
      </w:pPr>
      <w:r>
        <w:rPr>
          <w:b/>
        </w:rPr>
        <w:t>A. Başvuru Koşulları</w:t>
      </w:r>
    </w:p>
    <w:p w14:paraId="40824F97" w14:textId="77777777" w:rsidR="00F467B3" w:rsidRDefault="001F1FCA">
      <w:pPr>
        <w:numPr>
          <w:ilvl w:val="0"/>
          <w:numId w:val="1"/>
        </w:numPr>
        <w:spacing w:after="184"/>
        <w:ind w:right="96" w:hanging="293"/>
        <w:jc w:val="left"/>
      </w:pPr>
      <w:r>
        <w:t>Yatay geçişler ancak eşdeğer eğitim programları uygulayan Yükseköğretim Kurumları arasında yapılır.</w:t>
      </w:r>
    </w:p>
    <w:p w14:paraId="62343B8E" w14:textId="24D2ACB6" w:rsidR="00F467B3" w:rsidRDefault="001F1FCA">
      <w:pPr>
        <w:numPr>
          <w:ilvl w:val="0"/>
          <w:numId w:val="1"/>
        </w:numPr>
        <w:spacing w:after="189"/>
        <w:ind w:right="96" w:hanging="293"/>
        <w:jc w:val="left"/>
      </w:pPr>
      <w:r>
        <w:t>Ön</w:t>
      </w:r>
      <w:r w:rsidR="009052A9">
        <w:t xml:space="preserve"> L</w:t>
      </w:r>
      <w:r>
        <w:t>isans programlarının ilk yarıyılı ile son yarıyılına, lisans programlarının ilk iki yarıyılı ile son iki yarıyılına ve hazırlık sınıfına yatay geçiş yapılamaz.</w:t>
      </w:r>
    </w:p>
    <w:p w14:paraId="08DD9F6A" w14:textId="77777777" w:rsidR="00F467B3" w:rsidRDefault="001F1FCA">
      <w:pPr>
        <w:numPr>
          <w:ilvl w:val="0"/>
          <w:numId w:val="1"/>
        </w:numPr>
        <w:spacing w:after="197" w:line="249" w:lineRule="auto"/>
        <w:ind w:right="96" w:hanging="293"/>
        <w:jc w:val="left"/>
      </w:pPr>
      <w:r>
        <w:t>Kurumlar arası yatay geçiş için öğrencinin, kayıtlı olduğu programda bitirmiş olduğu dönemlere ait genel not ortalamasının en az 100 üzerinden 60 (4 üzerinden en az 2.29) olması gereklidir.</w:t>
      </w:r>
    </w:p>
    <w:p w14:paraId="39395D68" w14:textId="77777777" w:rsidR="00F467B3" w:rsidRDefault="001F1FCA">
      <w:pPr>
        <w:numPr>
          <w:ilvl w:val="0"/>
          <w:numId w:val="1"/>
        </w:numPr>
        <w:spacing w:after="197" w:line="249" w:lineRule="auto"/>
        <w:ind w:right="96" w:hanging="293"/>
        <w:jc w:val="left"/>
      </w:pPr>
      <w:r>
        <w:t xml:space="preserve">İkinci öğretimde öğrenim gören öğrenciler (hazırlık sınıfı hariç) bulundukları sınıfın bütün derslerini vermek ve ilk %10'a girmek suretiyle, kontenjan dahilinde </w:t>
      </w:r>
      <w:proofErr w:type="spellStart"/>
      <w:proofErr w:type="gramStart"/>
      <w:r>
        <w:t>I.öğretim</w:t>
      </w:r>
      <w:proofErr w:type="spellEnd"/>
      <w:proofErr w:type="gramEnd"/>
      <w:r>
        <w:t xml:space="preserve"> programına yatay geçiş müracaatı yapabilir.</w:t>
      </w:r>
    </w:p>
    <w:p w14:paraId="68C12596" w14:textId="31EC6CE3" w:rsidR="00F467B3" w:rsidRDefault="001F1FCA">
      <w:pPr>
        <w:numPr>
          <w:ilvl w:val="0"/>
          <w:numId w:val="1"/>
        </w:numPr>
        <w:spacing w:after="197" w:line="249" w:lineRule="auto"/>
        <w:ind w:right="96" w:hanging="293"/>
        <w:jc w:val="left"/>
      </w:pPr>
      <w:r>
        <w:t xml:space="preserve">Açık ve uzaktan eğitim programlarından örgün eğitim programlarına yatay geçiş müracaatı yapılabilmesi için öğrencinin genel not ortalamasının 100 üzerinden 80 ve üzeri olması veya </w:t>
      </w:r>
      <w:r w:rsidR="009052A9">
        <w:t>kaydolduğu</w:t>
      </w:r>
      <w:r>
        <w:t xml:space="preserve"> yıldaki merkezi yerleştirme puanının geçmek istediği örgün öğretim programının o yılki taban puanına eşit veya yüksek olması gerekir.</w:t>
      </w:r>
    </w:p>
    <w:p w14:paraId="54CBDE48" w14:textId="77777777" w:rsidR="00F467B3" w:rsidRDefault="001F1FCA">
      <w:pPr>
        <w:numPr>
          <w:ilvl w:val="0"/>
          <w:numId w:val="1"/>
        </w:numPr>
        <w:ind w:right="96" w:hanging="293"/>
        <w:jc w:val="left"/>
      </w:pPr>
      <w:r>
        <w:t xml:space="preserve">Yurtdışından yapılacak yatay geçiş müracaatları; Yükseköğretim Kurumlarında </w:t>
      </w:r>
      <w:proofErr w:type="spellStart"/>
      <w:r>
        <w:t>Önlisans</w:t>
      </w:r>
      <w:proofErr w:type="spellEnd"/>
      <w:r>
        <w:t xml:space="preserve"> ve</w:t>
      </w:r>
    </w:p>
    <w:p w14:paraId="2C1B547D" w14:textId="77777777" w:rsidR="00F467B3" w:rsidRDefault="001F1FCA">
      <w:pPr>
        <w:spacing w:after="185"/>
        <w:ind w:left="108" w:right="194"/>
      </w:pPr>
      <w:r>
        <w:t xml:space="preserve">Lisans Düzeyindeki Programlar Arasında Geçiş, Çift </w:t>
      </w:r>
      <w:proofErr w:type="spellStart"/>
      <w:r>
        <w:t>Anadal</w:t>
      </w:r>
      <w:proofErr w:type="spellEnd"/>
      <w:r>
        <w:t xml:space="preserve">, Yan Dal ile </w:t>
      </w:r>
      <w:proofErr w:type="spellStart"/>
      <w:r>
        <w:t>Kurumlararası</w:t>
      </w:r>
      <w:proofErr w:type="spellEnd"/>
      <w:r>
        <w:t xml:space="preserve"> Kredi Transferi Yapılması Esaslarına İlişkin Yönetmeliğin 14. Maddesi hükümlerince yapılır.</w:t>
      </w:r>
    </w:p>
    <w:p w14:paraId="1BA5D1C9" w14:textId="34C88B25" w:rsidR="00F467B3" w:rsidRDefault="001F1FCA">
      <w:pPr>
        <w:spacing w:after="206"/>
        <w:ind w:left="108" w:right="194"/>
      </w:pPr>
      <w:r>
        <w:rPr>
          <w:b/>
        </w:rPr>
        <w:t xml:space="preserve">MADDE 14 </w:t>
      </w:r>
      <w:r>
        <w:t xml:space="preserve">– (1) Üniversite senatoları tarafından yurtdışındaki yükseköğretim kurumlarından yapılacak yatay geçişler için kontenjan belirlenebilir. Kontenjan belirlenmesi halinde her bir program için kurumlar arası yatay geçiş kontenjanının yarısını aşmayacak şekilde belirlenen yurt dışı yükseköğretim kurumları kontenjanları ile üniversite senatosu tarafından belirlenen başvuru şartları, kurumlar arası yatay geçiş kontenjanları ile birlikte Yükseköğretim Kuruluna en geç </w:t>
      </w:r>
      <w:proofErr w:type="gramStart"/>
      <w:r w:rsidR="009052A9">
        <w:t>Aralık</w:t>
      </w:r>
      <w:proofErr w:type="gramEnd"/>
      <w:r>
        <w:t xml:space="preserve"> ayının </w:t>
      </w:r>
      <w:r w:rsidR="009052A9">
        <w:t>Otuz Birinci</w:t>
      </w:r>
      <w:r>
        <w:t xml:space="preserve"> günü mesai saati bitimine kadar bildirilir. Yükseköğretim Kurulu internet sayfasında tüm yükseköğretim kurumlarının yurt dışı öğrenci kontenjanları ile başvuru şartları ve değerlendirme takvimi ilan edilir. </w:t>
      </w:r>
    </w:p>
    <w:p w14:paraId="436DC1F8" w14:textId="77777777" w:rsidR="00F467B3" w:rsidRDefault="001F1FCA">
      <w:pPr>
        <w:numPr>
          <w:ilvl w:val="1"/>
          <w:numId w:val="1"/>
        </w:numPr>
        <w:ind w:right="194" w:firstLine="566"/>
      </w:pPr>
      <w:r>
        <w:t xml:space="preserve">Yabancı ülkelerdeki yükseköğretim kurumlarından yurt içindeki yükseköğretim kurumlarına geçiş için, öğrencinin bu Yönetmeliğin </w:t>
      </w:r>
      <w:r>
        <w:rPr>
          <w:b/>
        </w:rPr>
        <w:t xml:space="preserve">(Değişik ibare: RG-10/6/2020-31151) </w:t>
      </w:r>
      <w:r>
        <w:rPr>
          <w:u w:val="single" w:color="000000"/>
        </w:rPr>
        <w:t>11</w:t>
      </w:r>
      <w:r>
        <w:t xml:space="preserve"> </w:t>
      </w:r>
      <w:r>
        <w:rPr>
          <w:u w:val="single" w:color="000000"/>
        </w:rPr>
        <w:t>inci</w:t>
      </w:r>
      <w:r>
        <w:t xml:space="preserve"> maddesinin ikinci fıkrasında belirlenen kurumlar arası yatay geçiş başarı şartları aranır. </w:t>
      </w:r>
    </w:p>
    <w:p w14:paraId="64B7188A" w14:textId="77777777" w:rsidR="00F467B3" w:rsidRDefault="001F1FCA">
      <w:pPr>
        <w:numPr>
          <w:ilvl w:val="1"/>
          <w:numId w:val="1"/>
        </w:numPr>
        <w:spacing w:after="32"/>
        <w:ind w:right="194" w:firstLine="566"/>
      </w:pPr>
      <w:r>
        <w:t xml:space="preserve">Yurt dışındaki yükseköğretim kurumlarından yatay geçişte öğrencinin yatay geçiş yapmak istediği yükseköğretim kurumundaki diploma programının ilgili sınıfına öğrenci kabulündeki taban puana sahip öğrenciler, yurt dışında yükseköğrenim gördüğü tüm derslerden başarı şartı aranmaksızın yatay geçiş başvurusu yapabilirler. Bu yolla başvuran öğrencilerin </w:t>
      </w:r>
      <w:r>
        <w:lastRenderedPageBreak/>
        <w:t xml:space="preserve">yatay geçiş başvurusu üniversite senatosu tarafından belirlenen esaslar çerçevesinde yurt dışı yatay geçiş kontenjanı kapsamı dışında değerlendirilir. </w:t>
      </w:r>
    </w:p>
    <w:p w14:paraId="5F3550FB" w14:textId="77777777" w:rsidR="00F467B3" w:rsidRDefault="001F1FCA">
      <w:pPr>
        <w:numPr>
          <w:ilvl w:val="1"/>
          <w:numId w:val="1"/>
        </w:numPr>
        <w:spacing w:after="30"/>
        <w:ind w:right="194" w:firstLine="566"/>
      </w:pPr>
      <w:r>
        <w:t xml:space="preserve">Yurt dışı üniversitelerden yapılan başvurularda öğrencinin yurt dışında öğrenim gördüğü yükseköğretim kurumunun ve eğitimin yapıldığı programın ön lisans veya lisans diploma vermeye yetkili bir kurum olarak Yükseköğretim Kurulu tarafından tanınması ve kayıtlı olduğu diploma programının, yatay geçiş için başvurduğu </w:t>
      </w:r>
      <w:proofErr w:type="spellStart"/>
      <w:r>
        <w:t>önlisans</w:t>
      </w:r>
      <w:proofErr w:type="spellEnd"/>
      <w:r>
        <w:t xml:space="preserve"> veya lisans diploma programına eşdeğerliğinin ilgili üniversite tarafından kabul edilmesi şartı aranır. </w:t>
      </w:r>
    </w:p>
    <w:p w14:paraId="1B7087C6" w14:textId="77777777" w:rsidR="00F467B3" w:rsidRDefault="001F1FCA">
      <w:pPr>
        <w:numPr>
          <w:ilvl w:val="1"/>
          <w:numId w:val="1"/>
        </w:numPr>
        <w:spacing w:after="36"/>
        <w:ind w:right="194" w:firstLine="566"/>
      </w:pPr>
      <w:r>
        <w:t xml:space="preserve">Yurtdışında yükseköğretime başlayan öğrencilerin Türkiye’deki yükseköğretim programlarına geçiş başvurularının değerlendirilmesinde kullanılacak olan, Öğrenci Seçme ve Yerleştirme Merkezi tarafından yapılan Öğrenci Seçme ve Yerleştirme Sınavlarındaki asgari puanlar ile bunlara eşdeğerliği kabul edilen sınavlar ve puanları, üniversiteler tarafından belirlenen yurtdışı yatay geçiş kontenjanları </w:t>
      </w:r>
      <w:proofErr w:type="gramStart"/>
      <w:r>
        <w:t>ile birlikte</w:t>
      </w:r>
      <w:proofErr w:type="gramEnd"/>
      <w:r>
        <w:t xml:space="preserve"> Yükseköğretim Kurulu tarafından ilan edilir. Adayların, yatay geçiş başvurusu yapabilmeleri için en az ilan edilen puanlara veya üzerindeki puanlara sahip olması gerekir. </w:t>
      </w:r>
    </w:p>
    <w:p w14:paraId="4715818F" w14:textId="77777777" w:rsidR="00F467B3" w:rsidRDefault="001F1FCA">
      <w:pPr>
        <w:numPr>
          <w:ilvl w:val="1"/>
          <w:numId w:val="1"/>
        </w:numPr>
        <w:spacing w:after="34"/>
        <w:ind w:right="194" w:firstLine="566"/>
      </w:pPr>
      <w:r>
        <w:rPr>
          <w:b/>
        </w:rPr>
        <w:t>(</w:t>
      </w:r>
      <w:proofErr w:type="gramStart"/>
      <w:r>
        <w:rPr>
          <w:b/>
        </w:rPr>
        <w:t>Ek:RG</w:t>
      </w:r>
      <w:proofErr w:type="gramEnd"/>
      <w:r>
        <w:rPr>
          <w:b/>
        </w:rPr>
        <w:t xml:space="preserve">-18/3/2016-29657) </w:t>
      </w:r>
      <w:r>
        <w:t xml:space="preserve">Yurt dışındaki yükseköğretim kurumlarından yatay geçişte, yurt dışındaki aynı yükseköğretim kurumundan bir programın her bir sınıfına geçiş yapabilecek öğrenci sayısı o programın ilgili sınıfının yurt dışı kontenjanının yüzde 15’ini geçemez. Yüzde 15’in hesaplanmasında 1’in altındaki sayılar 1’e tamamlanır. Virgülden sonraki kısım 5’ten küçükse alttaki tam sayıya, 5 ve yukarısında ise bir üst tam sayıya tamamlanır. </w:t>
      </w:r>
    </w:p>
    <w:p w14:paraId="1F18217E" w14:textId="77777777" w:rsidR="00F467B3" w:rsidRDefault="001F1FCA">
      <w:pPr>
        <w:numPr>
          <w:ilvl w:val="1"/>
          <w:numId w:val="1"/>
        </w:numPr>
        <w:spacing w:after="321"/>
        <w:ind w:right="194" w:firstLine="566"/>
      </w:pPr>
      <w:r>
        <w:rPr>
          <w:b/>
        </w:rPr>
        <w:t>(</w:t>
      </w:r>
      <w:proofErr w:type="gramStart"/>
      <w:r>
        <w:rPr>
          <w:b/>
        </w:rPr>
        <w:t>Ek:RG</w:t>
      </w:r>
      <w:proofErr w:type="gramEnd"/>
      <w:r>
        <w:rPr>
          <w:b/>
        </w:rPr>
        <w:t xml:space="preserve">-21/12/2019-30985) </w:t>
      </w:r>
      <w:r>
        <w:t xml:space="preserve">Kuzey Kıbrıs Türk Cumhuriyeti dâhil yurt dışında kurulmuş olan yükseköğretim kurumlarından yurt içindeki yükseköğretim kurumlarının başarı sıralaması şartı aranan programlarına yatay geçişe ilişkin olarak Yükseköğretim Kurulu, bu Yönetmelik hükümleri dışında ilave şartlar belirleyebilir. </w:t>
      </w:r>
      <w:r>
        <w:rPr>
          <w:b/>
        </w:rPr>
        <w:t xml:space="preserve">(Ek </w:t>
      </w:r>
      <w:proofErr w:type="gramStart"/>
      <w:r>
        <w:rPr>
          <w:b/>
        </w:rPr>
        <w:t>ibare:RG</w:t>
      </w:r>
      <w:proofErr w:type="gramEnd"/>
      <w:r>
        <w:rPr>
          <w:b/>
        </w:rPr>
        <w:t xml:space="preserve">-9/4/2021-31449) </w:t>
      </w:r>
      <w:r>
        <w:rPr>
          <w:u w:val="single" w:color="000000"/>
        </w:rPr>
        <w:t>Yurt</w:t>
      </w:r>
      <w:r>
        <w:t xml:space="preserve"> </w:t>
      </w:r>
      <w:r>
        <w:rPr>
          <w:u w:val="single" w:color="000000"/>
        </w:rPr>
        <w:t>dışındaki bir yükseköğretim kurumundan ülkemizdeki başarı sıralaması şartı aranan bir</w:t>
      </w:r>
      <w:r>
        <w:t xml:space="preserve"> </w:t>
      </w:r>
      <w:r>
        <w:rPr>
          <w:u w:val="single" w:color="000000"/>
        </w:rPr>
        <w:t>programa yatay geçiş yapılabilmesi için;</w:t>
      </w:r>
      <w:r>
        <w:t xml:space="preserve"> </w:t>
      </w:r>
    </w:p>
    <w:p w14:paraId="7BC9B0BE" w14:textId="77777777" w:rsidR="00F467B3" w:rsidRDefault="001F1FCA">
      <w:pPr>
        <w:numPr>
          <w:ilvl w:val="1"/>
          <w:numId w:val="2"/>
        </w:numPr>
        <w:ind w:right="202" w:firstLine="566"/>
      </w:pPr>
      <w:r>
        <w:t xml:space="preserve">a) </w:t>
      </w:r>
      <w:r>
        <w:rPr>
          <w:b/>
        </w:rPr>
        <w:t>(</w:t>
      </w:r>
      <w:proofErr w:type="gramStart"/>
      <w:r>
        <w:rPr>
          <w:b/>
        </w:rPr>
        <w:t>Ek:RG</w:t>
      </w:r>
      <w:proofErr w:type="gramEnd"/>
      <w:r>
        <w:rPr>
          <w:b/>
        </w:rPr>
        <w:t xml:space="preserve">-9/4/2021-31449) (Değişik:RG-16/7/2023-32250) </w:t>
      </w:r>
      <w:r>
        <w:t xml:space="preserve">Öğrencinin yükseköğrenimine başladığı yıl, kayıtlı olduğu üniversitenin Yükseköğretim Kurulu tarafından esas alınan sıralama kuruluşlarının (Times </w:t>
      </w:r>
      <w:proofErr w:type="spellStart"/>
      <w:r>
        <w:t>Higher</w:t>
      </w:r>
      <w:proofErr w:type="spellEnd"/>
      <w:r>
        <w:t xml:space="preserve"> </w:t>
      </w:r>
      <w:proofErr w:type="spellStart"/>
      <w:r>
        <w:t>Education</w:t>
      </w:r>
      <w:proofErr w:type="spellEnd"/>
      <w:r>
        <w:t xml:space="preserve"> (THE), </w:t>
      </w:r>
    </w:p>
    <w:p w14:paraId="038E5E4A" w14:textId="77777777" w:rsidR="00F467B3" w:rsidRDefault="001F1FCA">
      <w:pPr>
        <w:ind w:left="108" w:right="194"/>
      </w:pPr>
      <w:r>
        <w:t xml:space="preserve">QS World </w:t>
      </w:r>
      <w:proofErr w:type="spellStart"/>
      <w:r>
        <w:t>University</w:t>
      </w:r>
      <w:proofErr w:type="spellEnd"/>
      <w:r>
        <w:t xml:space="preserve"> </w:t>
      </w:r>
      <w:proofErr w:type="spellStart"/>
      <w:r>
        <w:t>Rankings</w:t>
      </w:r>
      <w:proofErr w:type="spellEnd"/>
      <w:r>
        <w:t xml:space="preserve">, </w:t>
      </w:r>
      <w:proofErr w:type="spellStart"/>
      <w:r>
        <w:t>Academic</w:t>
      </w:r>
      <w:proofErr w:type="spellEnd"/>
      <w:r>
        <w:t xml:space="preserve"> </w:t>
      </w:r>
      <w:proofErr w:type="spellStart"/>
      <w:r>
        <w:t>Ranking</w:t>
      </w:r>
      <w:proofErr w:type="spellEnd"/>
      <w:r>
        <w:t xml:space="preserve"> of World </w:t>
      </w:r>
      <w:proofErr w:type="spellStart"/>
      <w:r>
        <w:t>Universities</w:t>
      </w:r>
      <w:proofErr w:type="spellEnd"/>
      <w:r>
        <w:t xml:space="preserve"> (ARWU) </w:t>
      </w:r>
    </w:p>
    <w:p w14:paraId="07C3FAB4" w14:textId="77777777" w:rsidR="00F467B3" w:rsidRDefault="001F1FCA">
      <w:pPr>
        <w:ind w:left="108" w:right="194"/>
      </w:pPr>
      <w:r>
        <w:t xml:space="preserve">CWTS </w:t>
      </w:r>
      <w:proofErr w:type="spellStart"/>
      <w:r>
        <w:t>Leiden</w:t>
      </w:r>
      <w:proofErr w:type="spellEnd"/>
      <w:r>
        <w:t xml:space="preserve"> </w:t>
      </w:r>
      <w:proofErr w:type="spellStart"/>
      <w:r>
        <w:t>Ranking</w:t>
      </w:r>
      <w:proofErr w:type="spellEnd"/>
      <w:r>
        <w:t xml:space="preserve">) en az üçünde ilk dört yüzlük dilim içerisinde yer alması ve bu </w:t>
      </w:r>
    </w:p>
    <w:p w14:paraId="04757940" w14:textId="77777777" w:rsidR="00F467B3" w:rsidRDefault="001F1FCA">
      <w:pPr>
        <w:spacing w:after="34"/>
        <w:ind w:left="108" w:right="194"/>
      </w:pPr>
      <w:r>
        <w:t>Yönetmeliğin dönem/sınıf ve başarı şartlarını taşıması,</w:t>
      </w:r>
      <w:r>
        <w:rPr>
          <w:b/>
        </w:rPr>
        <w:t xml:space="preserve"> </w:t>
      </w:r>
      <w:r>
        <w:t xml:space="preserve"> </w:t>
      </w:r>
    </w:p>
    <w:p w14:paraId="43C00961" w14:textId="55911F3F" w:rsidR="00F467B3" w:rsidRDefault="001F1FCA" w:rsidP="001F1FCA">
      <w:pPr>
        <w:numPr>
          <w:ilvl w:val="1"/>
          <w:numId w:val="2"/>
        </w:numPr>
        <w:spacing w:after="8" w:line="259" w:lineRule="auto"/>
        <w:ind w:left="108" w:right="194" w:firstLine="566"/>
      </w:pPr>
      <w:r w:rsidRPr="001F1FCA">
        <w:rPr>
          <w:b/>
        </w:rPr>
        <w:t>(</w:t>
      </w:r>
      <w:proofErr w:type="gramStart"/>
      <w:r w:rsidRPr="001F1FCA">
        <w:rPr>
          <w:b/>
        </w:rPr>
        <w:t>Ek:RG</w:t>
      </w:r>
      <w:proofErr w:type="gramEnd"/>
      <w:r w:rsidRPr="001F1FCA">
        <w:rPr>
          <w:b/>
        </w:rPr>
        <w:t xml:space="preserve">-9/4/2021-31449) </w:t>
      </w:r>
      <w:r>
        <w:t xml:space="preserve">İlk dört yüzlük dilim dışında kalan bir üniversitede kayıtlı olunması halinde; </w:t>
      </w:r>
    </w:p>
    <w:p w14:paraId="3934A6BB" w14:textId="361D3E37" w:rsidR="00F467B3" w:rsidRDefault="001F1FCA">
      <w:pPr>
        <w:numPr>
          <w:ilvl w:val="1"/>
          <w:numId w:val="3"/>
        </w:numPr>
        <w:ind w:right="194" w:firstLine="566"/>
      </w:pPr>
      <w:r>
        <w:t xml:space="preserve">Ortaöğretimini Türkiye’de tamamlayanların, her halükârda merkezi yerleştirme sınavına girmiş ve kayıt yılı itibarıyla başarı sıralaması şartı aranan programın ilgili puan türünde başarı sıralaması şartını sağlamış olması, </w:t>
      </w:r>
    </w:p>
    <w:p w14:paraId="33ED1B44" w14:textId="12FBB8EF" w:rsidR="00F467B3" w:rsidRDefault="001F1FCA">
      <w:pPr>
        <w:numPr>
          <w:ilvl w:val="1"/>
          <w:numId w:val="3"/>
        </w:numPr>
        <w:ind w:right="194" w:firstLine="566"/>
      </w:pPr>
      <w:r>
        <w:t xml:space="preserve">Ortaöğretiminin en az son iki yılını yurt dışında tamamlayanların, </w:t>
      </w:r>
      <w:r w:rsidR="009052A9">
        <w:t>kaydoldukları</w:t>
      </w:r>
      <w:r>
        <w:t xml:space="preserve"> diploma programının, hazırlık sınıfı hariç en az dört yarıyılını başarıyla geçmiş olması gerekir. </w:t>
      </w:r>
    </w:p>
    <w:p w14:paraId="5DF26956" w14:textId="1D8E2B43" w:rsidR="009052A9" w:rsidRDefault="009052A9" w:rsidP="009052A9">
      <w:pPr>
        <w:ind w:right="194"/>
      </w:pPr>
    </w:p>
    <w:p w14:paraId="721E7517" w14:textId="157EE5B3" w:rsidR="009052A9" w:rsidRDefault="009052A9" w:rsidP="009052A9">
      <w:pPr>
        <w:ind w:right="194"/>
      </w:pPr>
    </w:p>
    <w:p w14:paraId="403EBEB2" w14:textId="77777777" w:rsidR="009052A9" w:rsidRDefault="009052A9" w:rsidP="009052A9">
      <w:pPr>
        <w:ind w:right="194"/>
      </w:pPr>
    </w:p>
    <w:p w14:paraId="68F87317" w14:textId="77777777" w:rsidR="001F1FCA" w:rsidRDefault="001F1FCA" w:rsidP="001F1FCA">
      <w:pPr>
        <w:ind w:left="671" w:right="194" w:firstLine="0"/>
      </w:pPr>
    </w:p>
    <w:p w14:paraId="5930512B" w14:textId="65C6B431" w:rsidR="001F1FCA" w:rsidRDefault="001F1FCA" w:rsidP="001F1FCA">
      <w:pPr>
        <w:pStyle w:val="ListeParagraf"/>
        <w:numPr>
          <w:ilvl w:val="0"/>
          <w:numId w:val="1"/>
        </w:numPr>
        <w:spacing w:after="651" w:line="249" w:lineRule="auto"/>
        <w:ind w:right="96"/>
        <w:jc w:val="left"/>
      </w:pPr>
      <w:r>
        <w:lastRenderedPageBreak/>
        <w:t xml:space="preserve">Yabancı uyruklu öğrencilerin yatay geçiş başvuruların değerlendirilmesinde öğrencinin programa </w:t>
      </w:r>
      <w:r w:rsidR="009052A9">
        <w:t>kaydolduğu</w:t>
      </w:r>
      <w:r>
        <w:t xml:space="preserve"> yıldaki programın ÖSYS/YKS minimum puanının YKS puanı olarak kabul edilmesi gerekir.</w:t>
      </w:r>
    </w:p>
    <w:p w14:paraId="4205FA6E" w14:textId="0F062C93" w:rsidR="00F467B3" w:rsidRDefault="001F1FCA" w:rsidP="009052A9">
      <w:pPr>
        <w:ind w:left="3" w:right="194" w:firstLine="705"/>
      </w:pPr>
      <w:r>
        <w:t>Yükseköğretim Kurumlarında Ön</w:t>
      </w:r>
      <w:r w:rsidR="009052A9">
        <w:t xml:space="preserve"> L</w:t>
      </w:r>
      <w:r>
        <w:t xml:space="preserve">isans </w:t>
      </w:r>
      <w:r w:rsidR="009052A9">
        <w:t>v</w:t>
      </w:r>
      <w:r>
        <w:t xml:space="preserve">e Lisans Düzeyindeki Programlar Arasında Geçiş, Çift </w:t>
      </w:r>
      <w:proofErr w:type="spellStart"/>
      <w:r>
        <w:t>Anadal</w:t>
      </w:r>
      <w:proofErr w:type="spellEnd"/>
      <w:r>
        <w:t xml:space="preserve">, Yan Dal </w:t>
      </w:r>
      <w:r w:rsidR="009052A9">
        <w:t>ile</w:t>
      </w:r>
      <w:r>
        <w:t xml:space="preserve"> Kurumlar Arası Kredi Transferi Yapılması Esaslarına İlişkin Yönetmeliğin 7. Maddesi 3. Fıkrasında yazılı;</w:t>
      </w:r>
      <w:r w:rsidR="009052A9">
        <w:t xml:space="preserve"> </w:t>
      </w:r>
      <w:r>
        <w:t xml:space="preserve">(3) ‘‘Başvurularla ilgili ön değerlendirmeyi, senatonun belirlemiş olduğu ilkeler çerçevesinde, ilgili yönetim kurulları tarafından oluşturulan komisyonlar yapar. </w:t>
      </w:r>
      <w:r>
        <w:rPr>
          <w:b/>
        </w:rPr>
        <w:t xml:space="preserve">(Değişik </w:t>
      </w:r>
      <w:r w:rsidR="009052A9">
        <w:rPr>
          <w:b/>
        </w:rPr>
        <w:t>cümle: RG</w:t>
      </w:r>
      <w:r>
        <w:rPr>
          <w:b/>
        </w:rPr>
        <w:t>11/1/2023-</w:t>
      </w:r>
      <w:proofErr w:type="gramStart"/>
      <w:r>
        <w:rPr>
          <w:b/>
        </w:rPr>
        <w:t>32070)</w:t>
      </w:r>
      <w:r>
        <w:rPr>
          <w:b/>
          <w:vertAlign w:val="superscript"/>
        </w:rPr>
        <w:t>(</w:t>
      </w:r>
      <w:proofErr w:type="gramEnd"/>
      <w:r>
        <w:rPr>
          <w:b/>
          <w:vertAlign w:val="superscript"/>
        </w:rPr>
        <w:t>4)</w:t>
      </w:r>
      <w:r>
        <w:t xml:space="preserve"> Başvurular, adayların genel not ortalaması ile programın puan türünde yükseköğretime kayıt olduğu yıldaki ÖSYS/YKS puanının en az %40'ı hesaplamaya dahil edilerek senato tarafından belirlenmiş olan kriterlere göre değerlendirilir ve ayrılan kontenjana göre geçiş sağlanır.’’   Hükmü gereğince    </w:t>
      </w:r>
      <w:r w:rsidR="009052A9">
        <w:t>Üniversitemize 2025</w:t>
      </w:r>
      <w:r>
        <w:t xml:space="preserve">-2026 </w:t>
      </w:r>
      <w:proofErr w:type="gramStart"/>
      <w:r>
        <w:t>Eğitim -</w:t>
      </w:r>
      <w:proofErr w:type="gramEnd"/>
      <w:r>
        <w:t xml:space="preserve"> Öğretim yılından itibaren </w:t>
      </w:r>
      <w:r w:rsidR="009052A9">
        <w:t>kurumlar arası</w:t>
      </w:r>
      <w:r>
        <w:t xml:space="preserve"> yatay geçiş yapmak isteyen öğrencilerin genel not ortalamasının %50 si ile YKS puanının %50 sinin hesaplanarak geçiş puanının belirlenecektir.</w:t>
      </w:r>
    </w:p>
    <w:p w14:paraId="4E003125" w14:textId="77777777" w:rsidR="009052A9" w:rsidRDefault="009052A9" w:rsidP="009052A9">
      <w:pPr>
        <w:ind w:left="3" w:right="194"/>
      </w:pPr>
    </w:p>
    <w:p w14:paraId="7A6530A3" w14:textId="77777777" w:rsidR="00F467B3" w:rsidRDefault="001F1FCA">
      <w:pPr>
        <w:spacing w:after="252" w:line="259" w:lineRule="auto"/>
        <w:ind w:left="-5" w:right="0" w:hanging="10"/>
        <w:jc w:val="left"/>
      </w:pPr>
      <w:r>
        <w:rPr>
          <w:b/>
        </w:rPr>
        <w:t>Müracaat İçin Gerekli Belgeler</w:t>
      </w:r>
    </w:p>
    <w:p w14:paraId="1707E5E3" w14:textId="7916C4F3" w:rsidR="00F467B3" w:rsidRDefault="009052A9" w:rsidP="009052A9">
      <w:pPr>
        <w:pStyle w:val="ListeParagraf"/>
        <w:numPr>
          <w:ilvl w:val="0"/>
          <w:numId w:val="4"/>
        </w:numPr>
        <w:ind w:right="194"/>
      </w:pPr>
      <w:r>
        <w:t xml:space="preserve">Islak İmzalı veya E-İmzalı </w:t>
      </w:r>
      <w:r w:rsidR="001F1FCA">
        <w:t>Not belgesi (Transkript) öğrencinin ayrılacağı kurumdan alacağı, izlediği tüm dersleri ve bu derslerden aldığı notları gösteren belge veya onaylı sureti.</w:t>
      </w:r>
    </w:p>
    <w:p w14:paraId="250AF4EE" w14:textId="7014DE69" w:rsidR="00F467B3" w:rsidRDefault="001F1FCA" w:rsidP="009052A9">
      <w:pPr>
        <w:pStyle w:val="ListeParagraf"/>
        <w:numPr>
          <w:ilvl w:val="0"/>
          <w:numId w:val="4"/>
        </w:numPr>
        <w:ind w:right="194"/>
      </w:pPr>
      <w:r>
        <w:t>Öğrenci Belgesi. (Yeni Tarihli)</w:t>
      </w:r>
    </w:p>
    <w:p w14:paraId="30632288" w14:textId="3FEC2269" w:rsidR="00F467B3" w:rsidRDefault="001F1FCA" w:rsidP="009052A9">
      <w:pPr>
        <w:pStyle w:val="ListeParagraf"/>
        <w:numPr>
          <w:ilvl w:val="0"/>
          <w:numId w:val="4"/>
        </w:numPr>
        <w:ind w:right="194"/>
      </w:pPr>
      <w:r>
        <w:t>Disiplin cezası alıp almadığına dair belge.</w:t>
      </w:r>
    </w:p>
    <w:p w14:paraId="66308D9A" w14:textId="165BA669" w:rsidR="00F467B3" w:rsidRDefault="001F1FCA" w:rsidP="009052A9">
      <w:pPr>
        <w:pStyle w:val="ListeParagraf"/>
        <w:numPr>
          <w:ilvl w:val="0"/>
          <w:numId w:val="4"/>
        </w:numPr>
        <w:ind w:right="194"/>
      </w:pPr>
      <w:r>
        <w:t>ÖSYS yerleştirme sonuç belgesinin internet çıktısı.</w:t>
      </w:r>
    </w:p>
    <w:p w14:paraId="6FB530BF" w14:textId="413F2E5C" w:rsidR="00F467B3" w:rsidRDefault="001F1FCA" w:rsidP="009052A9">
      <w:pPr>
        <w:pStyle w:val="ListeParagraf"/>
        <w:numPr>
          <w:ilvl w:val="0"/>
          <w:numId w:val="4"/>
        </w:numPr>
        <w:ind w:right="194"/>
      </w:pPr>
      <w:r>
        <w:t>ÖSYS Sonuç Belgesi</w:t>
      </w:r>
    </w:p>
    <w:p w14:paraId="151C0D7E" w14:textId="1B86D9FF" w:rsidR="00F467B3" w:rsidRDefault="001F1FCA" w:rsidP="009052A9">
      <w:pPr>
        <w:pStyle w:val="ListeParagraf"/>
        <w:numPr>
          <w:ilvl w:val="0"/>
          <w:numId w:val="4"/>
        </w:numPr>
        <w:ind w:right="194"/>
      </w:pPr>
      <w:r>
        <w:t>Öğrencinin onaylı veya E-İmzalı ders içerikleri belgesi.</w:t>
      </w:r>
    </w:p>
    <w:p w14:paraId="2557905E" w14:textId="2618BC14" w:rsidR="00F467B3" w:rsidRDefault="00F467B3" w:rsidP="001F1FCA">
      <w:pPr>
        <w:ind w:left="3" w:right="194"/>
      </w:pPr>
    </w:p>
    <w:p w14:paraId="2B4A25EA" w14:textId="77777777" w:rsidR="00F467B3" w:rsidRDefault="001F1FCA">
      <w:pPr>
        <w:ind w:left="3" w:right="0"/>
      </w:pPr>
      <w:r>
        <w:rPr>
          <w:b/>
        </w:rPr>
        <w:t>NOT:</w:t>
      </w:r>
      <w:r>
        <w:t xml:space="preserve"> Yatay Geçiş başvuruları Online olarak yapılacaktır. Online olarak yüklenecek başvuru belgelerinin asılları kayıt sırasında ibraz edilecektir.</w:t>
      </w:r>
    </w:p>
    <w:sectPr w:rsidR="00F467B3">
      <w:pgSz w:w="11911" w:h="16841"/>
      <w:pgMar w:top="1457" w:right="1200" w:bottom="1184" w:left="13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ABB"/>
    <w:multiLevelType w:val="hybridMultilevel"/>
    <w:tmpl w:val="C13CD1EA"/>
    <w:lvl w:ilvl="0" w:tplc="8E7A86F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C6C2A">
      <w:start w:val="1"/>
      <w:numFmt w:val="lowerLetter"/>
      <w:lvlText w:val="%2)"/>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840720">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032F2">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A23AA">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6BA96">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6C27A">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2C868">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82514">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38595A"/>
    <w:multiLevelType w:val="hybridMultilevel"/>
    <w:tmpl w:val="513A9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56561C"/>
    <w:multiLevelType w:val="hybridMultilevel"/>
    <w:tmpl w:val="90A6C370"/>
    <w:lvl w:ilvl="0" w:tplc="2C32C4BC">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94977A">
      <w:start w:val="2"/>
      <w:numFmt w:val="decimal"/>
      <w:lvlText w:val="(%2)"/>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83144">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A225E">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C165A">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44608">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3C0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49116">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4B26A">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A852CB"/>
    <w:multiLevelType w:val="hybridMultilevel"/>
    <w:tmpl w:val="D9DAFE5C"/>
    <w:lvl w:ilvl="0" w:tplc="D36683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0B7F2">
      <w:start w:val="1"/>
      <w:numFmt w:val="decimal"/>
      <w:lvlText w:val="%2)"/>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07ADE">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42EA">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80D90">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9E9A">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0A212">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23678">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8A5C6">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B3"/>
    <w:rsid w:val="001F1FCA"/>
    <w:rsid w:val="009052A9"/>
    <w:rsid w:val="00F467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A191"/>
  <w15:docId w15:val="{9BBD9788-068B-474A-9213-7CE6A4DC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18" w:right="206" w:hanging="3"/>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1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KURUMLARARASI YATAY GEÇİŞ KOŞULLARI (GANO).docx</dc:title>
  <dc:subject/>
  <dc:creator>Turaç</dc:creator>
  <cp:keywords/>
  <cp:lastModifiedBy>Şeyda İşler</cp:lastModifiedBy>
  <cp:revision>2</cp:revision>
  <cp:lastPrinted>2025-07-24T11:52:00Z</cp:lastPrinted>
  <dcterms:created xsi:type="dcterms:W3CDTF">2025-12-09T11:46:00Z</dcterms:created>
  <dcterms:modified xsi:type="dcterms:W3CDTF">2025-12-09T11:46:00Z</dcterms:modified>
</cp:coreProperties>
</file>